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39" w:type="dxa"/>
        <w:tblCellSpacing w:w="0" w:type="dxa"/>
        <w:tblCellMar>
          <w:left w:w="0" w:type="dxa"/>
          <w:right w:w="0" w:type="dxa"/>
        </w:tblCellMar>
        <w:tblLook w:val="04A0" w:firstRow="1" w:lastRow="0" w:firstColumn="1" w:lastColumn="0" w:noHBand="0" w:noVBand="1"/>
      </w:tblPr>
      <w:tblGrid>
        <w:gridCol w:w="567"/>
        <w:gridCol w:w="2378"/>
        <w:gridCol w:w="599"/>
        <w:gridCol w:w="1808"/>
        <w:gridCol w:w="603"/>
        <w:gridCol w:w="2484"/>
      </w:tblGrid>
      <w:tr w:rsidR="00D25BB3" w:rsidRPr="00D25BB3" w:rsidTr="00820796">
        <w:trPr>
          <w:trHeight w:val="369"/>
          <w:tblCellSpacing w:w="0" w:type="dxa"/>
        </w:trPr>
        <w:tc>
          <w:tcPr>
            <w:tcW w:w="336" w:type="pct"/>
            <w:hideMark/>
          </w:tcPr>
          <w:p w:rsidR="00D25BB3" w:rsidRPr="00D25BB3" w:rsidRDefault="00D25BB3" w:rsidP="00D25BB3">
            <w:pPr>
              <w:widowControl/>
              <w:spacing w:line="375" w:lineRule="atLeast"/>
              <w:jc w:val="left"/>
              <w:rPr>
                <w:rFonts w:ascii="宋体" w:eastAsia="宋体" w:hAnsi="宋体" w:cs="宋体"/>
                <w:b/>
                <w:bCs/>
                <w:color w:val="4B4B4B"/>
                <w:kern w:val="0"/>
                <w:szCs w:val="21"/>
              </w:rPr>
            </w:pPr>
            <w:r w:rsidRPr="00D25BB3">
              <w:rPr>
                <w:rFonts w:ascii="宋体" w:eastAsia="宋体" w:hAnsi="宋体" w:cs="宋体" w:hint="eastAsia"/>
                <w:b/>
                <w:bCs/>
                <w:color w:val="4B4B4B"/>
                <w:kern w:val="0"/>
                <w:szCs w:val="21"/>
              </w:rPr>
              <w:t>信息名称：</w:t>
            </w:r>
          </w:p>
        </w:tc>
        <w:tc>
          <w:tcPr>
            <w:tcW w:w="4664" w:type="pct"/>
            <w:gridSpan w:val="5"/>
            <w:hideMark/>
          </w:tcPr>
          <w:p w:rsidR="00D25BB3" w:rsidRPr="00D25BB3" w:rsidRDefault="00D25BB3" w:rsidP="00820796">
            <w:pPr>
              <w:widowControl/>
              <w:spacing w:line="600" w:lineRule="auto"/>
              <w:jc w:val="center"/>
              <w:rPr>
                <w:rFonts w:ascii="宋体" w:eastAsia="宋体" w:hAnsi="宋体" w:cs="宋体"/>
                <w:b/>
                <w:bCs/>
                <w:color w:val="CC3300"/>
                <w:kern w:val="0"/>
                <w:szCs w:val="21"/>
              </w:rPr>
            </w:pPr>
            <w:r w:rsidRPr="00D25BB3">
              <w:rPr>
                <w:rFonts w:ascii="宋体" w:eastAsia="宋体" w:hAnsi="宋体" w:cs="宋体" w:hint="eastAsia"/>
                <w:b/>
                <w:bCs/>
                <w:color w:val="CC3300"/>
                <w:kern w:val="0"/>
                <w:szCs w:val="21"/>
              </w:rPr>
              <w:t>高等学校预防与处理学术不端行为办法</w:t>
            </w:r>
          </w:p>
        </w:tc>
      </w:tr>
      <w:tr w:rsidR="00B73CB2" w:rsidRPr="00D25BB3" w:rsidTr="008A3203">
        <w:trPr>
          <w:trHeight w:val="369"/>
          <w:tblCellSpacing w:w="0" w:type="dxa"/>
        </w:trPr>
        <w:tc>
          <w:tcPr>
            <w:tcW w:w="336" w:type="pct"/>
            <w:hideMark/>
          </w:tcPr>
          <w:p w:rsidR="00D25BB3" w:rsidRPr="00D25BB3" w:rsidRDefault="00D25BB3" w:rsidP="00D25BB3">
            <w:pPr>
              <w:widowControl/>
              <w:spacing w:line="375" w:lineRule="atLeast"/>
              <w:jc w:val="left"/>
              <w:rPr>
                <w:rFonts w:ascii="宋体" w:eastAsia="宋体" w:hAnsi="宋体" w:cs="宋体"/>
                <w:b/>
                <w:bCs/>
                <w:color w:val="4B4B4B"/>
                <w:kern w:val="0"/>
                <w:szCs w:val="21"/>
              </w:rPr>
            </w:pPr>
            <w:r w:rsidRPr="00D25BB3">
              <w:rPr>
                <w:rFonts w:ascii="宋体" w:eastAsia="宋体" w:hAnsi="宋体" w:cs="宋体" w:hint="eastAsia"/>
                <w:b/>
                <w:bCs/>
                <w:color w:val="4B4B4B"/>
                <w:kern w:val="0"/>
                <w:szCs w:val="21"/>
              </w:rPr>
              <w:t>信息索引：</w:t>
            </w:r>
          </w:p>
        </w:tc>
        <w:tc>
          <w:tcPr>
            <w:tcW w:w="1409" w:type="pct"/>
            <w:hideMark/>
          </w:tcPr>
          <w:p w:rsidR="00D25BB3" w:rsidRPr="00D25BB3" w:rsidRDefault="00D25BB3" w:rsidP="008A3203">
            <w:pPr>
              <w:widowControl/>
              <w:spacing w:line="600" w:lineRule="auto"/>
              <w:jc w:val="left"/>
              <w:rPr>
                <w:rFonts w:ascii="宋体" w:eastAsia="宋体" w:hAnsi="宋体" w:cs="宋体"/>
                <w:color w:val="4B4B4B"/>
                <w:kern w:val="0"/>
                <w:szCs w:val="21"/>
              </w:rPr>
            </w:pPr>
            <w:r w:rsidRPr="00D25BB3">
              <w:rPr>
                <w:rFonts w:ascii="宋体" w:eastAsia="宋体" w:hAnsi="宋体" w:cs="宋体" w:hint="eastAsia"/>
                <w:color w:val="4B4B4B"/>
                <w:kern w:val="0"/>
                <w:szCs w:val="21"/>
              </w:rPr>
              <w:t>360A02-03-2016-0018-1</w:t>
            </w:r>
          </w:p>
        </w:tc>
        <w:tc>
          <w:tcPr>
            <w:tcW w:w="355" w:type="pct"/>
            <w:hideMark/>
          </w:tcPr>
          <w:p w:rsidR="00D25BB3" w:rsidRPr="00D25BB3" w:rsidRDefault="00D25BB3" w:rsidP="00D25BB3">
            <w:pPr>
              <w:widowControl/>
              <w:spacing w:line="375" w:lineRule="atLeast"/>
              <w:jc w:val="left"/>
              <w:rPr>
                <w:rFonts w:ascii="宋体" w:eastAsia="宋体" w:hAnsi="宋体" w:cs="宋体"/>
                <w:b/>
                <w:bCs/>
                <w:color w:val="4B4B4B"/>
                <w:kern w:val="0"/>
                <w:szCs w:val="21"/>
              </w:rPr>
            </w:pPr>
            <w:r w:rsidRPr="00D25BB3">
              <w:rPr>
                <w:rFonts w:ascii="宋体" w:eastAsia="宋体" w:hAnsi="宋体" w:cs="宋体" w:hint="eastAsia"/>
                <w:b/>
                <w:bCs/>
                <w:color w:val="4B4B4B"/>
                <w:kern w:val="0"/>
                <w:szCs w:val="21"/>
              </w:rPr>
              <w:t>生成日期：</w:t>
            </w:r>
          </w:p>
        </w:tc>
        <w:tc>
          <w:tcPr>
            <w:tcW w:w="1071" w:type="pct"/>
            <w:hideMark/>
          </w:tcPr>
          <w:p w:rsidR="00D25BB3" w:rsidRPr="00D25BB3" w:rsidRDefault="00D25BB3" w:rsidP="008A3203">
            <w:pPr>
              <w:widowControl/>
              <w:spacing w:line="600" w:lineRule="auto"/>
              <w:jc w:val="left"/>
              <w:rPr>
                <w:rFonts w:ascii="宋体" w:eastAsia="宋体" w:hAnsi="宋体" w:cs="宋体"/>
                <w:color w:val="4B4B4B"/>
                <w:kern w:val="0"/>
                <w:szCs w:val="21"/>
              </w:rPr>
            </w:pPr>
            <w:r w:rsidRPr="00D25BB3">
              <w:rPr>
                <w:rFonts w:ascii="宋体" w:eastAsia="宋体" w:hAnsi="宋体" w:cs="宋体" w:hint="eastAsia"/>
                <w:color w:val="4B4B4B"/>
                <w:kern w:val="0"/>
                <w:szCs w:val="21"/>
              </w:rPr>
              <w:t>2016-06-16</w:t>
            </w:r>
          </w:p>
        </w:tc>
        <w:tc>
          <w:tcPr>
            <w:tcW w:w="357" w:type="pct"/>
            <w:hideMark/>
          </w:tcPr>
          <w:p w:rsidR="00D25BB3" w:rsidRPr="00D25BB3" w:rsidRDefault="00D25BB3" w:rsidP="00D25BB3">
            <w:pPr>
              <w:widowControl/>
              <w:spacing w:line="375" w:lineRule="atLeast"/>
              <w:jc w:val="left"/>
              <w:rPr>
                <w:rFonts w:ascii="宋体" w:eastAsia="宋体" w:hAnsi="宋体" w:cs="宋体"/>
                <w:b/>
                <w:bCs/>
                <w:color w:val="4B4B4B"/>
                <w:kern w:val="0"/>
                <w:szCs w:val="21"/>
              </w:rPr>
            </w:pPr>
            <w:r w:rsidRPr="00D25BB3">
              <w:rPr>
                <w:rFonts w:ascii="宋体" w:eastAsia="宋体" w:hAnsi="宋体" w:cs="宋体" w:hint="eastAsia"/>
                <w:b/>
                <w:bCs/>
                <w:color w:val="4B4B4B"/>
                <w:kern w:val="0"/>
                <w:szCs w:val="21"/>
              </w:rPr>
              <w:t>发文机构：</w:t>
            </w:r>
          </w:p>
        </w:tc>
        <w:tc>
          <w:tcPr>
            <w:tcW w:w="1472" w:type="pct"/>
            <w:hideMark/>
          </w:tcPr>
          <w:p w:rsidR="00D25BB3" w:rsidRPr="00D25BB3" w:rsidRDefault="00D25BB3" w:rsidP="008A3203">
            <w:pPr>
              <w:widowControl/>
              <w:spacing w:line="600" w:lineRule="auto"/>
              <w:jc w:val="left"/>
              <w:rPr>
                <w:rFonts w:ascii="宋体" w:eastAsia="宋体" w:hAnsi="宋体" w:cs="宋体"/>
                <w:color w:val="4B4B4B"/>
                <w:kern w:val="0"/>
                <w:szCs w:val="21"/>
              </w:rPr>
            </w:pPr>
            <w:r w:rsidRPr="00D25BB3">
              <w:rPr>
                <w:rFonts w:ascii="宋体" w:eastAsia="宋体" w:hAnsi="宋体" w:cs="宋体" w:hint="eastAsia"/>
                <w:color w:val="4B4B4B"/>
                <w:kern w:val="0"/>
                <w:szCs w:val="21"/>
              </w:rPr>
              <w:t>中华人民共和国教育部</w:t>
            </w:r>
          </w:p>
        </w:tc>
      </w:tr>
      <w:tr w:rsidR="00820796" w:rsidRPr="00D25BB3" w:rsidTr="008A3203">
        <w:trPr>
          <w:trHeight w:val="737"/>
          <w:tblCellSpacing w:w="0" w:type="dxa"/>
        </w:trPr>
        <w:tc>
          <w:tcPr>
            <w:tcW w:w="336" w:type="pct"/>
            <w:hideMark/>
          </w:tcPr>
          <w:p w:rsidR="00D25BB3" w:rsidRPr="00D25BB3" w:rsidRDefault="00D25BB3" w:rsidP="00D25BB3">
            <w:pPr>
              <w:widowControl/>
              <w:spacing w:line="375" w:lineRule="atLeast"/>
              <w:jc w:val="left"/>
              <w:rPr>
                <w:rFonts w:ascii="宋体" w:eastAsia="宋体" w:hAnsi="宋体" w:cs="宋体"/>
                <w:b/>
                <w:bCs/>
                <w:color w:val="4B4B4B"/>
                <w:kern w:val="0"/>
                <w:szCs w:val="21"/>
              </w:rPr>
            </w:pPr>
            <w:r w:rsidRPr="00D25BB3">
              <w:rPr>
                <w:rFonts w:ascii="宋体" w:eastAsia="宋体" w:hAnsi="宋体" w:cs="宋体" w:hint="eastAsia"/>
                <w:b/>
                <w:bCs/>
                <w:color w:val="4B4B4B"/>
                <w:kern w:val="0"/>
                <w:szCs w:val="21"/>
              </w:rPr>
              <w:t>发文字号：</w:t>
            </w:r>
          </w:p>
        </w:tc>
        <w:tc>
          <w:tcPr>
            <w:tcW w:w="1409" w:type="pct"/>
            <w:hideMark/>
          </w:tcPr>
          <w:p w:rsidR="00D25BB3" w:rsidRPr="00D25BB3" w:rsidRDefault="00D25BB3" w:rsidP="00D25BB3">
            <w:pPr>
              <w:widowControl/>
              <w:spacing w:line="375" w:lineRule="atLeast"/>
              <w:jc w:val="left"/>
              <w:rPr>
                <w:rFonts w:ascii="宋体" w:eastAsia="宋体" w:hAnsi="宋体" w:cs="宋体"/>
                <w:color w:val="4B4B4B"/>
                <w:kern w:val="0"/>
                <w:szCs w:val="21"/>
              </w:rPr>
            </w:pPr>
            <w:r w:rsidRPr="00D25BB3">
              <w:rPr>
                <w:rFonts w:ascii="宋体" w:eastAsia="宋体" w:hAnsi="宋体" w:cs="宋体" w:hint="eastAsia"/>
                <w:color w:val="4B4B4B"/>
                <w:kern w:val="0"/>
                <w:szCs w:val="21"/>
              </w:rPr>
              <w:t>中华人民共和国教育部令第40号</w:t>
            </w:r>
            <w:bookmarkStart w:id="0" w:name="_GoBack"/>
            <w:bookmarkEnd w:id="0"/>
          </w:p>
        </w:tc>
        <w:tc>
          <w:tcPr>
            <w:tcW w:w="355" w:type="pct"/>
            <w:hideMark/>
          </w:tcPr>
          <w:p w:rsidR="00D25BB3" w:rsidRPr="00D25BB3" w:rsidRDefault="00D25BB3" w:rsidP="00D25BB3">
            <w:pPr>
              <w:widowControl/>
              <w:spacing w:line="375" w:lineRule="atLeast"/>
              <w:jc w:val="left"/>
              <w:rPr>
                <w:rFonts w:ascii="宋体" w:eastAsia="宋体" w:hAnsi="宋体" w:cs="宋体"/>
                <w:b/>
                <w:bCs/>
                <w:color w:val="4B4B4B"/>
                <w:kern w:val="0"/>
                <w:szCs w:val="21"/>
              </w:rPr>
            </w:pPr>
            <w:r w:rsidRPr="00D25BB3">
              <w:rPr>
                <w:rFonts w:ascii="宋体" w:eastAsia="宋体" w:hAnsi="宋体" w:cs="宋体" w:hint="eastAsia"/>
                <w:b/>
                <w:bCs/>
                <w:color w:val="4B4B4B"/>
                <w:kern w:val="0"/>
                <w:szCs w:val="21"/>
              </w:rPr>
              <w:t>信息类别：</w:t>
            </w:r>
          </w:p>
        </w:tc>
        <w:tc>
          <w:tcPr>
            <w:tcW w:w="2900" w:type="pct"/>
            <w:gridSpan w:val="3"/>
            <w:hideMark/>
          </w:tcPr>
          <w:p w:rsidR="00D25BB3" w:rsidRPr="00D25BB3" w:rsidRDefault="00D25BB3" w:rsidP="00A87385">
            <w:pPr>
              <w:widowControl/>
              <w:spacing w:line="600" w:lineRule="auto"/>
              <w:jc w:val="left"/>
              <w:rPr>
                <w:rFonts w:ascii="宋体" w:eastAsia="宋体" w:hAnsi="宋体" w:cs="宋体"/>
                <w:color w:val="4B4B4B"/>
                <w:kern w:val="0"/>
                <w:szCs w:val="21"/>
              </w:rPr>
            </w:pPr>
            <w:r w:rsidRPr="00D25BB3">
              <w:rPr>
                <w:rFonts w:ascii="宋体" w:eastAsia="宋体" w:hAnsi="宋体" w:cs="宋体" w:hint="eastAsia"/>
                <w:color w:val="4B4B4B"/>
                <w:kern w:val="0"/>
                <w:szCs w:val="21"/>
              </w:rPr>
              <w:t>部门规章</w:t>
            </w:r>
          </w:p>
        </w:tc>
      </w:tr>
      <w:tr w:rsidR="00D25BB3" w:rsidRPr="00D25BB3" w:rsidTr="00820796">
        <w:trPr>
          <w:trHeight w:val="369"/>
          <w:tblCellSpacing w:w="0" w:type="dxa"/>
        </w:trPr>
        <w:tc>
          <w:tcPr>
            <w:tcW w:w="336" w:type="pct"/>
            <w:hideMark/>
          </w:tcPr>
          <w:p w:rsidR="00D25BB3" w:rsidRPr="00D25BB3" w:rsidRDefault="00D25BB3" w:rsidP="00D25BB3">
            <w:pPr>
              <w:widowControl/>
              <w:spacing w:line="375" w:lineRule="atLeast"/>
              <w:jc w:val="left"/>
              <w:rPr>
                <w:rFonts w:ascii="宋体" w:eastAsia="宋体" w:hAnsi="宋体" w:cs="宋体"/>
                <w:b/>
                <w:bCs/>
                <w:color w:val="4B4B4B"/>
                <w:kern w:val="0"/>
                <w:szCs w:val="21"/>
              </w:rPr>
            </w:pPr>
            <w:r w:rsidRPr="00D25BB3">
              <w:rPr>
                <w:rFonts w:ascii="宋体" w:eastAsia="宋体" w:hAnsi="宋体" w:cs="宋体" w:hint="eastAsia"/>
                <w:b/>
                <w:bCs/>
                <w:color w:val="4B4B4B"/>
                <w:kern w:val="0"/>
                <w:szCs w:val="21"/>
              </w:rPr>
              <w:t>内容概述：</w:t>
            </w:r>
          </w:p>
        </w:tc>
        <w:tc>
          <w:tcPr>
            <w:tcW w:w="4664" w:type="pct"/>
            <w:gridSpan w:val="5"/>
            <w:hideMark/>
          </w:tcPr>
          <w:p w:rsidR="00D25BB3" w:rsidRPr="00D25BB3" w:rsidRDefault="00D25BB3" w:rsidP="00D25BB3">
            <w:pPr>
              <w:widowControl/>
              <w:spacing w:line="375" w:lineRule="atLeast"/>
              <w:jc w:val="left"/>
              <w:rPr>
                <w:rFonts w:ascii="宋体" w:eastAsia="宋体" w:hAnsi="宋体" w:cs="宋体"/>
                <w:color w:val="4B4B4B"/>
                <w:kern w:val="0"/>
                <w:szCs w:val="21"/>
              </w:rPr>
            </w:pPr>
            <w:r w:rsidRPr="00D25BB3">
              <w:rPr>
                <w:rFonts w:ascii="宋体" w:eastAsia="宋体" w:hAnsi="宋体" w:cs="宋体" w:hint="eastAsia"/>
                <w:color w:val="4B4B4B"/>
                <w:kern w:val="0"/>
                <w:szCs w:val="21"/>
              </w:rPr>
              <w:t>《高等学校预防与处理学术不端行为办法》经教育部2016年第14次部长办公会议审议通过，自2016年9月1日起施行。</w:t>
            </w:r>
          </w:p>
        </w:tc>
      </w:tr>
    </w:tbl>
    <w:p w:rsidR="00D25BB3" w:rsidRPr="00D25BB3" w:rsidRDefault="00D25BB3" w:rsidP="00D25BB3">
      <w:pPr>
        <w:widowControl/>
        <w:shd w:val="clear" w:color="auto" w:fill="FFFFFF"/>
        <w:jc w:val="left"/>
        <w:rPr>
          <w:rFonts w:ascii="宋体" w:eastAsia="宋体" w:hAnsi="宋体" w:cs="宋体"/>
          <w:vanish/>
          <w:kern w:val="0"/>
          <w:sz w:val="24"/>
          <w:szCs w:val="24"/>
        </w:rPr>
      </w:pPr>
      <w:r w:rsidRPr="00D25BB3">
        <w:rPr>
          <w:rFonts w:ascii="宋体" w:eastAsia="宋体" w:hAnsi="宋体" w:cs="宋体"/>
          <w:vanish/>
          <w:kern w:val="0"/>
          <w:sz w:val="24"/>
          <w:szCs w:val="24"/>
        </w:rPr>
        <w:t>信息公开_部令</w:t>
      </w:r>
    </w:p>
    <w:p w:rsidR="00D25BB3" w:rsidRPr="00D25BB3" w:rsidRDefault="00D25BB3" w:rsidP="00D25BB3">
      <w:pPr>
        <w:widowControl/>
        <w:shd w:val="clear" w:color="auto" w:fill="FFFFFF"/>
        <w:spacing w:before="100" w:beforeAutospacing="1" w:after="100" w:afterAutospacing="1" w:line="480" w:lineRule="atLeast"/>
        <w:jc w:val="center"/>
        <w:rPr>
          <w:rFonts w:ascii="微软雅黑" w:eastAsia="微软雅黑" w:hAnsi="微软雅黑" w:cs="宋体"/>
          <w:b/>
          <w:bCs/>
          <w:vanish/>
          <w:color w:val="4B4B4B"/>
          <w:kern w:val="0"/>
          <w:sz w:val="24"/>
          <w:szCs w:val="24"/>
        </w:rPr>
      </w:pPr>
      <w:r w:rsidRPr="00D25BB3">
        <w:rPr>
          <w:rFonts w:ascii="微软雅黑" w:eastAsia="微软雅黑" w:hAnsi="微软雅黑" w:cs="宋体" w:hint="eastAsia"/>
          <w:b/>
          <w:bCs/>
          <w:vanish/>
          <w:color w:val="4B4B4B"/>
          <w:kern w:val="0"/>
          <w:sz w:val="24"/>
          <w:szCs w:val="24"/>
        </w:rPr>
        <w:t>中华人民共和国教育部令第40号</w:t>
      </w:r>
    </w:p>
    <w:p w:rsidR="00D25BB3" w:rsidRPr="00D25BB3" w:rsidRDefault="00D25BB3" w:rsidP="00D25BB3">
      <w:pPr>
        <w:widowControl/>
        <w:shd w:val="clear" w:color="auto" w:fill="FFFFFF"/>
        <w:spacing w:before="100" w:beforeAutospacing="1" w:after="100" w:afterAutospacing="1"/>
        <w:jc w:val="center"/>
        <w:outlineLvl w:val="1"/>
        <w:rPr>
          <w:rFonts w:ascii="微软雅黑" w:eastAsia="微软雅黑" w:hAnsi="微软雅黑" w:cs="宋体" w:hint="eastAsia"/>
          <w:b/>
          <w:bCs/>
          <w:vanish/>
          <w:color w:val="4B4B4B"/>
          <w:kern w:val="36"/>
          <w:sz w:val="30"/>
          <w:szCs w:val="30"/>
        </w:rPr>
      </w:pPr>
      <w:r w:rsidRPr="00D25BB3">
        <w:rPr>
          <w:rFonts w:ascii="微软雅黑" w:eastAsia="微软雅黑" w:hAnsi="微软雅黑" w:cs="宋体" w:hint="eastAsia"/>
          <w:b/>
          <w:bCs/>
          <w:vanish/>
          <w:color w:val="4B4B4B"/>
          <w:kern w:val="36"/>
          <w:sz w:val="30"/>
          <w:szCs w:val="30"/>
        </w:rPr>
        <w:t>高等学校预防与处理学术不端行为办法</w:t>
      </w:r>
    </w:p>
    <w:p w:rsidR="00D25BB3" w:rsidRPr="00D25BB3" w:rsidRDefault="00D25BB3" w:rsidP="00D25BB3">
      <w:pPr>
        <w:widowControl/>
        <w:shd w:val="clear" w:color="auto" w:fill="FFFFFF"/>
        <w:spacing w:before="100" w:beforeAutospacing="1" w:after="100" w:afterAutospacing="1" w:line="480" w:lineRule="atLeast"/>
        <w:jc w:val="center"/>
        <w:rPr>
          <w:rFonts w:ascii="微软雅黑" w:eastAsia="微软雅黑" w:hAnsi="微软雅黑" w:cs="宋体" w:hint="eastAsia"/>
          <w:b/>
          <w:bCs/>
          <w:color w:val="4B4B4B"/>
          <w:kern w:val="0"/>
          <w:sz w:val="24"/>
          <w:szCs w:val="24"/>
        </w:rPr>
      </w:pPr>
      <w:r w:rsidRPr="00D25BB3">
        <w:rPr>
          <w:rFonts w:ascii="微软雅黑" w:eastAsia="微软雅黑" w:hAnsi="微软雅黑" w:cs="宋体" w:hint="eastAsia"/>
          <w:b/>
          <w:bCs/>
          <w:color w:val="4B4B4B"/>
          <w:kern w:val="0"/>
          <w:sz w:val="24"/>
          <w:szCs w:val="24"/>
        </w:rPr>
        <w:t>中华人民共和国教育部令第40号</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《高等学校预防与处理学术不端行为办法》已于2016年4月5日经教育部2016年第14次部长办公会议审议通过，现予发布，自2016年9月1日起施行。</w:t>
      </w:r>
    </w:p>
    <w:p w:rsidR="00D25BB3" w:rsidRPr="00D25BB3" w:rsidRDefault="00D25BB3" w:rsidP="00D25BB3">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教育部部长 袁贵仁</w:t>
      </w:r>
    </w:p>
    <w:p w:rsidR="00D25BB3" w:rsidRPr="00D25BB3" w:rsidRDefault="00D25BB3" w:rsidP="00D25BB3">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2016年6月16日</w:t>
      </w:r>
    </w:p>
    <w:p w:rsidR="00D25BB3" w:rsidRPr="00D25BB3" w:rsidRDefault="00D25BB3" w:rsidP="00D25BB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w:t>
      </w:r>
      <w:r w:rsidRPr="00D25BB3">
        <w:rPr>
          <w:rFonts w:ascii="微软雅黑" w:eastAsia="微软雅黑" w:hAnsi="微软雅黑" w:cs="宋体" w:hint="eastAsia"/>
          <w:b/>
          <w:bCs/>
          <w:color w:val="4B4B4B"/>
          <w:kern w:val="0"/>
          <w:sz w:val="24"/>
          <w:szCs w:val="24"/>
        </w:rPr>
        <w:t>高等学校预防与处理学术不端行为办法</w:t>
      </w:r>
    </w:p>
    <w:p w:rsidR="00D25BB3" w:rsidRPr="00D25BB3" w:rsidRDefault="00D25BB3" w:rsidP="00D25BB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b/>
          <w:bCs/>
          <w:color w:val="4B4B4B"/>
          <w:kern w:val="0"/>
          <w:sz w:val="24"/>
          <w:szCs w:val="24"/>
        </w:rPr>
        <w:t xml:space="preserve">　　第一章　总则</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lastRenderedPageBreak/>
        <w:t xml:space="preserve">　　第二条　本办法所称学术不端行为是指高等学校及其教学科研人员、管理人员和学生，在科学研究及相关活动中发生的违反公认的学术准则、违背学术诚信的行为。</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第三条　高等学校预防与处理学术不端行为应坚持预防为主、教育与惩戒结合的原则。</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高等学校应当充分发挥学术委员会在学风建设方面的作用，支持和保障学术委员会依法履行职责，调查、认定学术不端行为。</w:t>
      </w:r>
    </w:p>
    <w:p w:rsidR="00D25BB3" w:rsidRPr="00D25BB3" w:rsidRDefault="00D25BB3" w:rsidP="00D25BB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w:t>
      </w:r>
      <w:r w:rsidRPr="00D25BB3">
        <w:rPr>
          <w:rFonts w:ascii="微软雅黑" w:eastAsia="微软雅黑" w:hAnsi="微软雅黑" w:cs="宋体" w:hint="eastAsia"/>
          <w:b/>
          <w:bCs/>
          <w:color w:val="4B4B4B"/>
          <w:kern w:val="0"/>
          <w:sz w:val="24"/>
          <w:szCs w:val="24"/>
        </w:rPr>
        <w:t>第二章　教育与预防</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第六条　高等学校应当完善学术治理体系，建立科学公正的学术评价和学术发展制度，营造鼓励创新、宽容失败、不骄不躁、风清气正的学术环境。</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lastRenderedPageBreak/>
        <w:t xml:space="preserve">　　高等学校教学科研人员、管理人员、学生在科研活动中应当遵循实事求是的科学精神和严谨认真的治学态度，恪守学术诚信，遵循学术准则，尊重和保护他人知识产权等合法权益。</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第七条　高等学校应当将学术规范和学术诚信教育，作为教师培训和学生教育的必要内容，以多种形式开展教育、培训。</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教师对其指导的学生应当进行学术规范、学术诚信教育和指导，对学生公开发表论文、研究和撰写学位论文是否符合学术规范、学术诚信要求，进行必要的检查与审核。</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第八条　高等学校应当利用信息技术等手段，建立对学术成果、学位论文所涉及内容的知识产权查询制度，健全学术规范监督机制。</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第九条　高等学校应当建立健全科研管理制度，在合理期限内保存研究的原始数据和资料，保证科研档案和数据的真实性、完整性。</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高等学校应当完善科研项目评审、学术成果鉴定程序，结合学科特点，对非涉密的科研项目申报材料、学术成果的基本信息以适当方式进行公开。</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第十条　高等学校应当遵循学术研究规律，建立科学的学术水平考核评价标准、办法，引导教学科研人员和学生潜心研究，形成具有创新性、独创性的研究成果。</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第十一条　高等学校应当建立教学科研人员学术诚信记录，在年度考核、职称评定、岗位聘用、课题立项、人才计划、评优奖励中强化学术诚信考核。</w:t>
      </w:r>
    </w:p>
    <w:p w:rsidR="00D25BB3" w:rsidRPr="00D25BB3" w:rsidRDefault="00D25BB3" w:rsidP="00D25BB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lastRenderedPageBreak/>
        <w:t xml:space="preserve">　　</w:t>
      </w:r>
      <w:r w:rsidRPr="00D25BB3">
        <w:rPr>
          <w:rFonts w:ascii="微软雅黑" w:eastAsia="微软雅黑" w:hAnsi="微软雅黑" w:cs="宋体" w:hint="eastAsia"/>
          <w:b/>
          <w:bCs/>
          <w:color w:val="4B4B4B"/>
          <w:kern w:val="0"/>
          <w:sz w:val="24"/>
          <w:szCs w:val="24"/>
        </w:rPr>
        <w:t>第三章　受理与调查</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第十三条　对学术不端行为的举报，一般应当以书面方式实名提出，并符合下列条件：</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（一）有明确的举报对象；</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（二）有实施学术不端行为的事实；</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（三）有客观的证据材料或者查证线索。</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以匿名方式举报，但事实清楚、证据充分或者线索明确的，高等学校应当视情况予以受理。</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第十四条　高等学校对媒体公开报道、其他学术机构或者社会组织主动披露的涉及本校人员的学术不端行为，应当依据职权，主动进行调查处理。</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第十五条　高等学校受理机构认为举报材料符合条件的，应当及时</w:t>
      </w:r>
      <w:proofErr w:type="gramStart"/>
      <w:r w:rsidRPr="00D25BB3">
        <w:rPr>
          <w:rFonts w:ascii="微软雅黑" w:eastAsia="微软雅黑" w:hAnsi="微软雅黑" w:cs="宋体" w:hint="eastAsia"/>
          <w:color w:val="4B4B4B"/>
          <w:kern w:val="0"/>
          <w:sz w:val="24"/>
          <w:szCs w:val="24"/>
        </w:rPr>
        <w:t>作出</w:t>
      </w:r>
      <w:proofErr w:type="gramEnd"/>
      <w:r w:rsidRPr="00D25BB3">
        <w:rPr>
          <w:rFonts w:ascii="微软雅黑" w:eastAsia="微软雅黑" w:hAnsi="微软雅黑" w:cs="宋体" w:hint="eastAsia"/>
          <w:color w:val="4B4B4B"/>
          <w:kern w:val="0"/>
          <w:sz w:val="24"/>
          <w:szCs w:val="24"/>
        </w:rPr>
        <w:t>受理决定，并通知举报人。不予受理的，应当书面说明理由。</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第十六条　学术不端行为举报受理后，应当交由学校学术委员会按照相关程序组织开展调查。</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lastRenderedPageBreak/>
        <w:t xml:space="preserve">　　学术委员会可委托有关专家就举报内容的合理性、调查的可能性等进行初步审查，并</w:t>
      </w:r>
      <w:proofErr w:type="gramStart"/>
      <w:r w:rsidRPr="00D25BB3">
        <w:rPr>
          <w:rFonts w:ascii="微软雅黑" w:eastAsia="微软雅黑" w:hAnsi="微软雅黑" w:cs="宋体" w:hint="eastAsia"/>
          <w:color w:val="4B4B4B"/>
          <w:kern w:val="0"/>
          <w:sz w:val="24"/>
          <w:szCs w:val="24"/>
        </w:rPr>
        <w:t>作出</w:t>
      </w:r>
      <w:proofErr w:type="gramEnd"/>
      <w:r w:rsidRPr="00D25BB3">
        <w:rPr>
          <w:rFonts w:ascii="微软雅黑" w:eastAsia="微软雅黑" w:hAnsi="微软雅黑" w:cs="宋体" w:hint="eastAsia"/>
          <w:color w:val="4B4B4B"/>
          <w:kern w:val="0"/>
          <w:sz w:val="24"/>
          <w:szCs w:val="24"/>
        </w:rPr>
        <w:t>是否进入正式调查的决定。</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决定不进入正式调查的，应当告知举报人。举报人如有新的证据，可以提出异议。异议成立的，应当进入正式调查。</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第十七条　高等学校学术委员会决定进入正式调查的，应当通知被举报人。</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被调查行为涉及资助项目的，可以同时通知项目资助方。</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第十八条　高等学校学术委员会应当组成调查组，负责对被举报行为进行调查；但对事实清楚、证据确凿、情节简单的被举报行为，也可以采用简易调查程序，具体办法由学术委员会确定。</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调查组应当不少于３人，必要时应当包括学校纪检、监察机构指派的工作人员，可以邀请同行专家参与调查或者以咨询等方式提供学术判断。</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被调查行为涉及资助项目的，可以邀请项目资助方委派相关专业人员参与调查组。</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第十九条　调查组的组成人员与举报人或者被举报人有合作研究、亲属或者导师学生等直接利害关系的，应当回避。</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第二十条　调查可通过查询资料、现场查看、实验检验、询问证人、询问举报人和被举报人等方式进行。调查组认为有必要的，可以委托无利害关系的专家或者第三</w:t>
      </w:r>
      <w:proofErr w:type="gramStart"/>
      <w:r w:rsidRPr="00D25BB3">
        <w:rPr>
          <w:rFonts w:ascii="微软雅黑" w:eastAsia="微软雅黑" w:hAnsi="微软雅黑" w:cs="宋体" w:hint="eastAsia"/>
          <w:color w:val="4B4B4B"/>
          <w:kern w:val="0"/>
          <w:sz w:val="24"/>
          <w:szCs w:val="24"/>
        </w:rPr>
        <w:t>方专业</w:t>
      </w:r>
      <w:proofErr w:type="gramEnd"/>
      <w:r w:rsidRPr="00D25BB3">
        <w:rPr>
          <w:rFonts w:ascii="微软雅黑" w:eastAsia="微软雅黑" w:hAnsi="微软雅黑" w:cs="宋体" w:hint="eastAsia"/>
          <w:color w:val="4B4B4B"/>
          <w:kern w:val="0"/>
          <w:sz w:val="24"/>
          <w:szCs w:val="24"/>
        </w:rPr>
        <w:t>机构就有关事项进行独立调查或者验证。</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lastRenderedPageBreak/>
        <w:t xml:space="preserve">　　第二十一条　调查组在调查过程中，应当认真听取被举报人的陈述、申辩，对有关事实、理由和证据进行核实；认为必要的，可以采取听证方式。</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第二十二条　有关单位和个人应当为调查组开展工作提供必要的便利和协助。</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举报人、被举报人、证人及其他有关人员应当如实回答询问，配合调查，提供相关证据材料，不得隐瞒或者提供虚假信息。</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第二十三条　调查过程中，出现知识产权等争议引发的法律纠纷的，且该争议可能影响行为定性的，应当中止调查，待争议解决后重启调查。</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第二十四条　调查组应当在查清事实的基础上形成调查报告。调查报告应当包括学术不端行为责任人的确认、调查过程、事实认定及理由、调查结论等。</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学术不端行为由多人集体做出的，调查报告中应当区别各责任人在行为中所发挥的作用。</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第二十五条　接触举报材料和参与调查处理的人员，不得向无关人员透露举报人、被举报人个人信息及调查情况。</w:t>
      </w:r>
    </w:p>
    <w:p w:rsidR="00D25BB3" w:rsidRPr="00D25BB3" w:rsidRDefault="00D25BB3" w:rsidP="00D25BB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w:t>
      </w:r>
      <w:r w:rsidRPr="00D25BB3">
        <w:rPr>
          <w:rFonts w:ascii="微软雅黑" w:eastAsia="微软雅黑" w:hAnsi="微软雅黑" w:cs="宋体" w:hint="eastAsia"/>
          <w:b/>
          <w:bCs/>
          <w:color w:val="4B4B4B"/>
          <w:kern w:val="0"/>
          <w:sz w:val="24"/>
          <w:szCs w:val="24"/>
        </w:rPr>
        <w:t>第四章　认定</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第二十六条　高等学校学术委员会应当对调查组提交的调查报告进行审查；必要的，应当听取调查组的汇报。</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lastRenderedPageBreak/>
        <w:t xml:space="preserve">　　学术委员会可以召开全体会议或者授权专门委员会对被调查行为是否构成学术不端行为以及行为的性质、情节等</w:t>
      </w:r>
      <w:proofErr w:type="gramStart"/>
      <w:r w:rsidRPr="00D25BB3">
        <w:rPr>
          <w:rFonts w:ascii="微软雅黑" w:eastAsia="微软雅黑" w:hAnsi="微软雅黑" w:cs="宋体" w:hint="eastAsia"/>
          <w:color w:val="4B4B4B"/>
          <w:kern w:val="0"/>
          <w:sz w:val="24"/>
          <w:szCs w:val="24"/>
        </w:rPr>
        <w:t>作出</w:t>
      </w:r>
      <w:proofErr w:type="gramEnd"/>
      <w:r w:rsidRPr="00D25BB3">
        <w:rPr>
          <w:rFonts w:ascii="微软雅黑" w:eastAsia="微软雅黑" w:hAnsi="微软雅黑" w:cs="宋体" w:hint="eastAsia"/>
          <w:color w:val="4B4B4B"/>
          <w:kern w:val="0"/>
          <w:sz w:val="24"/>
          <w:szCs w:val="24"/>
        </w:rPr>
        <w:t>认定结论，并依职权</w:t>
      </w:r>
      <w:proofErr w:type="gramStart"/>
      <w:r w:rsidRPr="00D25BB3">
        <w:rPr>
          <w:rFonts w:ascii="微软雅黑" w:eastAsia="微软雅黑" w:hAnsi="微软雅黑" w:cs="宋体" w:hint="eastAsia"/>
          <w:color w:val="4B4B4B"/>
          <w:kern w:val="0"/>
          <w:sz w:val="24"/>
          <w:szCs w:val="24"/>
        </w:rPr>
        <w:t>作出</w:t>
      </w:r>
      <w:proofErr w:type="gramEnd"/>
      <w:r w:rsidRPr="00D25BB3">
        <w:rPr>
          <w:rFonts w:ascii="微软雅黑" w:eastAsia="微软雅黑" w:hAnsi="微软雅黑" w:cs="宋体" w:hint="eastAsia"/>
          <w:color w:val="4B4B4B"/>
          <w:kern w:val="0"/>
          <w:sz w:val="24"/>
          <w:szCs w:val="24"/>
        </w:rPr>
        <w:t>处理或建议学校</w:t>
      </w:r>
      <w:proofErr w:type="gramStart"/>
      <w:r w:rsidRPr="00D25BB3">
        <w:rPr>
          <w:rFonts w:ascii="微软雅黑" w:eastAsia="微软雅黑" w:hAnsi="微软雅黑" w:cs="宋体" w:hint="eastAsia"/>
          <w:color w:val="4B4B4B"/>
          <w:kern w:val="0"/>
          <w:sz w:val="24"/>
          <w:szCs w:val="24"/>
        </w:rPr>
        <w:t>作出</w:t>
      </w:r>
      <w:proofErr w:type="gramEnd"/>
      <w:r w:rsidRPr="00D25BB3">
        <w:rPr>
          <w:rFonts w:ascii="微软雅黑" w:eastAsia="微软雅黑" w:hAnsi="微软雅黑" w:cs="宋体" w:hint="eastAsia"/>
          <w:color w:val="4B4B4B"/>
          <w:kern w:val="0"/>
          <w:sz w:val="24"/>
          <w:szCs w:val="24"/>
        </w:rPr>
        <w:t>相应处理。</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第二十七条　经调查，确认被举报人在科学研究及相关活动中有下列行为之一的，应当认定为构成学术不端行为：</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（一）剽窃、抄袭、侵占他人学术成果；</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（二）篡改他人研究成果；</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（三）伪造科研数据、资料、文献、注释，或者捏造事实、编造虚假研究成果；</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（四）未参加研究或创作而在研究成果、学术论文上署名，未经他人许可而不当使用他人署名，虚构合作者共同署名，或者多人共同完成研究而在成果中未注明他人工作、贡献；</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（五）在申报课题、成果、奖励和职务评审评定、申请学位等过程中提供虚假学术信息；</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（六）买卖论文、由他人代写或者为他人代写论文；</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（七）其他根据高等学校或者有关学术组织、相关科研管理机构制定的规则，属于学术不端的行为。</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第二十八条　有学术不端行为且有下列情形之一的，应当认定为情节严重：</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lastRenderedPageBreak/>
        <w:t xml:space="preserve">　　（一）造成恶劣影响的；</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（二）存在利益输送或者利益交换的；</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（三）对举报人进行打击报复的；</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（四）有组织实施学术不端行为的；</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（五）多次实施学术不端行为的；</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（六）其他造成严重后果或者恶劣影响的。</w:t>
      </w:r>
    </w:p>
    <w:p w:rsidR="00D25BB3" w:rsidRPr="00D25BB3" w:rsidRDefault="00D25BB3" w:rsidP="00D25BB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w:t>
      </w:r>
      <w:r w:rsidRPr="00D25BB3">
        <w:rPr>
          <w:rFonts w:ascii="微软雅黑" w:eastAsia="微软雅黑" w:hAnsi="微软雅黑" w:cs="宋体" w:hint="eastAsia"/>
          <w:b/>
          <w:bCs/>
          <w:color w:val="4B4B4B"/>
          <w:kern w:val="0"/>
          <w:sz w:val="24"/>
          <w:szCs w:val="24"/>
        </w:rPr>
        <w:t>第五章　处理</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第二十九条　高等学校应当根据学术委员会的认定结论和处理建议，结合行为性质和情节轻重，依职权和规定程序对学术不端行为责任人</w:t>
      </w:r>
      <w:proofErr w:type="gramStart"/>
      <w:r w:rsidRPr="00D25BB3">
        <w:rPr>
          <w:rFonts w:ascii="微软雅黑" w:eastAsia="微软雅黑" w:hAnsi="微软雅黑" w:cs="宋体" w:hint="eastAsia"/>
          <w:color w:val="4B4B4B"/>
          <w:kern w:val="0"/>
          <w:sz w:val="24"/>
          <w:szCs w:val="24"/>
        </w:rPr>
        <w:t>作出</w:t>
      </w:r>
      <w:proofErr w:type="gramEnd"/>
      <w:r w:rsidRPr="00D25BB3">
        <w:rPr>
          <w:rFonts w:ascii="微软雅黑" w:eastAsia="微软雅黑" w:hAnsi="微软雅黑" w:cs="宋体" w:hint="eastAsia"/>
          <w:color w:val="4B4B4B"/>
          <w:kern w:val="0"/>
          <w:sz w:val="24"/>
          <w:szCs w:val="24"/>
        </w:rPr>
        <w:t>如下处理：</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（一）通报批评；</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（二）终止或者撤销相关的科研项目，并在一定期限内取消申请资格；</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（三）撤销学术奖励或者荣誉称号；</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（四）辞退或解聘；</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（五）法律、法规及规章规定的其他处理措施。</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同时，可以依照有关规定，给予警告、记过、降低岗位等级或者撤职、开除等处分。</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lastRenderedPageBreak/>
        <w:t xml:space="preserve">　　学术不端行为责任人获得有关部门、机构设立的科研项目、学术奖励或者荣誉称号等利益的，学校应当同时向有关主管部门提出处理建议。</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学生有学术不端行为的，还应当按照学生管理的相关规定，给予相应的学籍处分。</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学术不端行为与获得学位有直接关联的，由学位授予单位作暂缓授予学位、不授予学位或者依法撤销学位等处理。</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第三十条　高等学校对学术不端行为</w:t>
      </w:r>
      <w:proofErr w:type="gramStart"/>
      <w:r w:rsidRPr="00D25BB3">
        <w:rPr>
          <w:rFonts w:ascii="微软雅黑" w:eastAsia="微软雅黑" w:hAnsi="微软雅黑" w:cs="宋体" w:hint="eastAsia"/>
          <w:color w:val="4B4B4B"/>
          <w:kern w:val="0"/>
          <w:sz w:val="24"/>
          <w:szCs w:val="24"/>
        </w:rPr>
        <w:t>作出</w:t>
      </w:r>
      <w:proofErr w:type="gramEnd"/>
      <w:r w:rsidRPr="00D25BB3">
        <w:rPr>
          <w:rFonts w:ascii="微软雅黑" w:eastAsia="微软雅黑" w:hAnsi="微软雅黑" w:cs="宋体" w:hint="eastAsia"/>
          <w:color w:val="4B4B4B"/>
          <w:kern w:val="0"/>
          <w:sz w:val="24"/>
          <w:szCs w:val="24"/>
        </w:rPr>
        <w:t>处理决定，应当制作处理决定书，载明以下内容：</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（一）责任人的基本情况；</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（二）经查证的学术不端行为事实；</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（三）处理意见和依据；</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（四）救济途径和期限；</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（五）其他必要内容。</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第三十一条　经调查认定，不构成学术不端行为的，根据被举报人申请，高等学校应当通过一定方式为其消除影响、恢复名誉等。</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调查处理过程中，发现举报人存在捏造事实、诬告陷害等行为的，应当认定为举报不实或者虚假举报，举报人应当承担相应责任。属于本单位人员的，高等</w:t>
      </w:r>
      <w:r w:rsidRPr="00D25BB3">
        <w:rPr>
          <w:rFonts w:ascii="微软雅黑" w:eastAsia="微软雅黑" w:hAnsi="微软雅黑" w:cs="宋体" w:hint="eastAsia"/>
          <w:color w:val="4B4B4B"/>
          <w:kern w:val="0"/>
          <w:sz w:val="24"/>
          <w:szCs w:val="24"/>
        </w:rPr>
        <w:lastRenderedPageBreak/>
        <w:t>学校应当按照有关规定给</w:t>
      </w:r>
      <w:proofErr w:type="gramStart"/>
      <w:r w:rsidRPr="00D25BB3">
        <w:rPr>
          <w:rFonts w:ascii="微软雅黑" w:eastAsia="微软雅黑" w:hAnsi="微软雅黑" w:cs="宋体" w:hint="eastAsia"/>
          <w:color w:val="4B4B4B"/>
          <w:kern w:val="0"/>
          <w:sz w:val="24"/>
          <w:szCs w:val="24"/>
        </w:rPr>
        <w:t>予处理</w:t>
      </w:r>
      <w:proofErr w:type="gramEnd"/>
      <w:r w:rsidRPr="00D25BB3">
        <w:rPr>
          <w:rFonts w:ascii="微软雅黑" w:eastAsia="微软雅黑" w:hAnsi="微软雅黑" w:cs="宋体" w:hint="eastAsia"/>
          <w:color w:val="4B4B4B"/>
          <w:kern w:val="0"/>
          <w:sz w:val="24"/>
          <w:szCs w:val="24"/>
        </w:rPr>
        <w:t>；不属于本单位人员的，应通报其所在单位，并提出处理建议。</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第三十二条　参与举报受理、调查和处理的人员违反保密等规定，造成不良影响的，按照有关规定给予处分或其他处理。</w:t>
      </w:r>
    </w:p>
    <w:p w:rsidR="00D25BB3" w:rsidRPr="00D25BB3" w:rsidRDefault="00D25BB3" w:rsidP="00D25BB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w:t>
      </w:r>
      <w:r w:rsidRPr="00D25BB3">
        <w:rPr>
          <w:rFonts w:ascii="微软雅黑" w:eastAsia="微软雅黑" w:hAnsi="微软雅黑" w:cs="宋体" w:hint="eastAsia"/>
          <w:b/>
          <w:bCs/>
          <w:color w:val="4B4B4B"/>
          <w:kern w:val="0"/>
          <w:sz w:val="24"/>
          <w:szCs w:val="24"/>
        </w:rPr>
        <w:t>第六章　复核</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第三十三条　举报人或者学术不端行为责任人对处理决定不服的，可以在收到处理决定之日起30日内，以书面形式向高等学校提出异议或者复核申请。</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异议和复核不影响处理决定的执行。</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第三十四条　高等学校收到异议或者复核申请后，应当交由学术委员会组织讨论，并于15日内</w:t>
      </w:r>
      <w:proofErr w:type="gramStart"/>
      <w:r w:rsidRPr="00D25BB3">
        <w:rPr>
          <w:rFonts w:ascii="微软雅黑" w:eastAsia="微软雅黑" w:hAnsi="微软雅黑" w:cs="宋体" w:hint="eastAsia"/>
          <w:color w:val="4B4B4B"/>
          <w:kern w:val="0"/>
          <w:sz w:val="24"/>
          <w:szCs w:val="24"/>
        </w:rPr>
        <w:t>作出</w:t>
      </w:r>
      <w:proofErr w:type="gramEnd"/>
      <w:r w:rsidRPr="00D25BB3">
        <w:rPr>
          <w:rFonts w:ascii="微软雅黑" w:eastAsia="微软雅黑" w:hAnsi="微软雅黑" w:cs="宋体" w:hint="eastAsia"/>
          <w:color w:val="4B4B4B"/>
          <w:kern w:val="0"/>
          <w:sz w:val="24"/>
          <w:szCs w:val="24"/>
        </w:rPr>
        <w:t>是否受理的决定。</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决定受理的，学校或者学术委员会可以另行组织调查组或者委托第三方机构进行调查；决定不予受理的，应当书面通知当事人。</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第三十五条　当事人对复核决定不服，仍以同一事实和理由提出异议或者申请复核的，不予受理；向有关主管部门提出申诉的，按照相关规定执行。</w:t>
      </w:r>
    </w:p>
    <w:p w:rsidR="00D25BB3" w:rsidRPr="00D25BB3" w:rsidRDefault="00D25BB3" w:rsidP="00D25BB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w:t>
      </w:r>
      <w:r w:rsidRPr="00D25BB3">
        <w:rPr>
          <w:rFonts w:ascii="微软雅黑" w:eastAsia="微软雅黑" w:hAnsi="微软雅黑" w:cs="宋体" w:hint="eastAsia"/>
          <w:b/>
          <w:bCs/>
          <w:color w:val="4B4B4B"/>
          <w:kern w:val="0"/>
          <w:sz w:val="24"/>
          <w:szCs w:val="24"/>
        </w:rPr>
        <w:t>第七章　监督</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第三十六条　高等学校应当按年度发布学风建设工作报告，并向社会公开，接受社会监督。</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lastRenderedPageBreak/>
        <w:t xml:space="preserve">　　第三十七条　高等学校处理学术不端行为推诿塞责、隐瞒包庇、查处不力的，主管部门可以直接组织或者委托相关机构查处。</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第三十八条　高等学校对本校发生的学术不端行为，未能及时查处并做出公正结论，造成恶劣影响的，主管部门应当追究相关领导的责任，并进行通报。</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高等学校为获得相关利益，有组织实施学术不端行为的，主管部门调查确认后，应当撤销高等学校由此获得的相关权利、项目以及其他利益，并追究学校主要负责人、直接负责人的责任。</w:t>
      </w:r>
    </w:p>
    <w:p w:rsidR="00D25BB3" w:rsidRPr="00D25BB3" w:rsidRDefault="00D25BB3" w:rsidP="00D25BB3">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w:t>
      </w:r>
      <w:r w:rsidRPr="00D25BB3">
        <w:rPr>
          <w:rFonts w:ascii="微软雅黑" w:eastAsia="微软雅黑" w:hAnsi="微软雅黑" w:cs="宋体" w:hint="eastAsia"/>
          <w:b/>
          <w:bCs/>
          <w:color w:val="4B4B4B"/>
          <w:kern w:val="0"/>
          <w:sz w:val="24"/>
          <w:szCs w:val="24"/>
        </w:rPr>
        <w:t>第八章　附则</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教育系统所属科研机构及其他单位有关人员学术不端行为的调查与处理，可参照本办法执行。</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t xml:space="preserve">　　第四十一条　本办法自2016年9月1日起施行。</w:t>
      </w:r>
    </w:p>
    <w:p w:rsidR="00D25BB3" w:rsidRPr="00D25BB3" w:rsidRDefault="00D25BB3" w:rsidP="00D25BB3">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D25BB3">
        <w:rPr>
          <w:rFonts w:ascii="微软雅黑" w:eastAsia="微软雅黑" w:hAnsi="微软雅黑" w:cs="宋体" w:hint="eastAsia"/>
          <w:color w:val="4B4B4B"/>
          <w:kern w:val="0"/>
          <w:sz w:val="24"/>
          <w:szCs w:val="24"/>
        </w:rPr>
        <w:lastRenderedPageBreak/>
        <w:t xml:space="preserve">　　教育部此前发布的有关规章、文件中的相关规定与本办法不一致的，以本办法为准。</w:t>
      </w:r>
    </w:p>
    <w:p w:rsidR="009F1396" w:rsidRPr="00D25BB3" w:rsidRDefault="00A87385"/>
    <w:sectPr w:rsidR="009F1396" w:rsidRPr="00D25B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FF0"/>
    <w:rsid w:val="003361EE"/>
    <w:rsid w:val="003A77E1"/>
    <w:rsid w:val="005C4FF0"/>
    <w:rsid w:val="00637101"/>
    <w:rsid w:val="00820796"/>
    <w:rsid w:val="008A3203"/>
    <w:rsid w:val="00A87385"/>
    <w:rsid w:val="00B53FAB"/>
    <w:rsid w:val="00B73CB2"/>
    <w:rsid w:val="00D25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5B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25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98650">
      <w:bodyDiv w:val="1"/>
      <w:marLeft w:val="0"/>
      <w:marRight w:val="0"/>
      <w:marTop w:val="0"/>
      <w:marBottom w:val="0"/>
      <w:divBdr>
        <w:top w:val="none" w:sz="0" w:space="0" w:color="auto"/>
        <w:left w:val="none" w:sz="0" w:space="0" w:color="auto"/>
        <w:bottom w:val="none" w:sz="0" w:space="0" w:color="auto"/>
        <w:right w:val="none" w:sz="0" w:space="0" w:color="auto"/>
      </w:divBdr>
      <w:divsChild>
        <w:div w:id="1055003598">
          <w:marLeft w:val="0"/>
          <w:marRight w:val="0"/>
          <w:marTop w:val="0"/>
          <w:marBottom w:val="0"/>
          <w:divBdr>
            <w:top w:val="none" w:sz="0" w:space="0" w:color="auto"/>
            <w:left w:val="none" w:sz="0" w:space="0" w:color="auto"/>
            <w:bottom w:val="none" w:sz="0" w:space="0" w:color="auto"/>
            <w:right w:val="none" w:sz="0" w:space="0" w:color="auto"/>
          </w:divBdr>
          <w:divsChild>
            <w:div w:id="558899788">
              <w:marLeft w:val="0"/>
              <w:marRight w:val="0"/>
              <w:marTop w:val="0"/>
              <w:marBottom w:val="0"/>
              <w:divBdr>
                <w:top w:val="single" w:sz="6" w:space="31" w:color="BCBCBC"/>
                <w:left w:val="single" w:sz="6" w:space="31" w:color="BCBCBC"/>
                <w:bottom w:val="single" w:sz="6" w:space="15" w:color="BCBCBC"/>
                <w:right w:val="single" w:sz="6" w:space="31" w:color="BCBCBC"/>
              </w:divBdr>
              <w:divsChild>
                <w:div w:id="18049392">
                  <w:marLeft w:val="0"/>
                  <w:marRight w:val="0"/>
                  <w:marTop w:val="0"/>
                  <w:marBottom w:val="0"/>
                  <w:divBdr>
                    <w:top w:val="none" w:sz="0" w:space="0" w:color="auto"/>
                    <w:left w:val="none" w:sz="0" w:space="0" w:color="auto"/>
                    <w:bottom w:val="none" w:sz="0" w:space="0" w:color="auto"/>
                    <w:right w:val="none" w:sz="0" w:space="0" w:color="auto"/>
                  </w:divBdr>
                  <w:divsChild>
                    <w:div w:id="1424689635">
                      <w:marLeft w:val="0"/>
                      <w:marRight w:val="0"/>
                      <w:marTop w:val="0"/>
                      <w:marBottom w:val="0"/>
                      <w:divBdr>
                        <w:top w:val="none" w:sz="0" w:space="0" w:color="auto"/>
                        <w:left w:val="none" w:sz="0" w:space="0" w:color="auto"/>
                        <w:bottom w:val="none" w:sz="0" w:space="0" w:color="auto"/>
                        <w:right w:val="none" w:sz="0" w:space="0" w:color="auto"/>
                      </w:divBdr>
                    </w:div>
                    <w:div w:id="1423337626">
                      <w:marLeft w:val="0"/>
                      <w:marRight w:val="0"/>
                      <w:marTop w:val="450"/>
                      <w:marBottom w:val="0"/>
                      <w:divBdr>
                        <w:top w:val="none" w:sz="0" w:space="0" w:color="auto"/>
                        <w:left w:val="none" w:sz="0" w:space="0" w:color="auto"/>
                        <w:bottom w:val="none" w:sz="0" w:space="0" w:color="auto"/>
                        <w:right w:val="none" w:sz="0" w:space="0" w:color="auto"/>
                      </w:divBdr>
                    </w:div>
                    <w:div w:id="1689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748</Words>
  <Characters>4270</Characters>
  <Application>Microsoft Office Word</Application>
  <DocSecurity>0</DocSecurity>
  <Lines>35</Lines>
  <Paragraphs>10</Paragraphs>
  <ScaleCrop>false</ScaleCrop>
  <Company>WIN</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11</cp:revision>
  <dcterms:created xsi:type="dcterms:W3CDTF">2017-11-08T02:04:00Z</dcterms:created>
  <dcterms:modified xsi:type="dcterms:W3CDTF">2017-11-08T02:07:00Z</dcterms:modified>
</cp:coreProperties>
</file>