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/>
          <w:color w:val="333333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附件</w:t>
      </w:r>
      <w:r>
        <w:rPr>
          <w:rFonts w:ascii="黑体" w:eastAsia="黑体"/>
          <w:color w:val="333333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</w:rPr>
        <w:fldChar w:fldCharType="begin"/>
      </w:r>
      <w:r>
        <w:rPr>
          <w:rFonts w:hint="eastAsia" w:ascii="华文中宋" w:hAnsi="华文中宋" w:eastAsia="华文中宋" w:cs="华文中宋"/>
        </w:rPr>
        <w:instrText xml:space="preserve"> HYPERLINK "http://www.bjfxh.org.cn/bjfxh/436038/436241/512076/2018061914545454858.docx" </w:instrText>
      </w:r>
      <w:r>
        <w:rPr>
          <w:rFonts w:hint="eastAsia" w:ascii="华文中宋" w:hAnsi="华文中宋" w:eastAsia="华文中宋" w:cs="华文中宋"/>
        </w:rPr>
        <w:fldChar w:fldCharType="separate"/>
      </w:r>
      <w:r>
        <w:rPr>
          <w:rStyle w:val="5"/>
          <w:rFonts w:hint="eastAsia" w:ascii="华文中宋" w:hAnsi="华文中宋" w:eastAsia="华文中宋" w:cs="华文中宋"/>
          <w:color w:val="auto"/>
          <w:sz w:val="44"/>
          <w:szCs w:val="44"/>
          <w:u w:val="none"/>
          <w:lang w:eastAsia="zh-CN"/>
        </w:rPr>
        <w:t>衡阳市</w:t>
      </w:r>
      <w:r>
        <w:rPr>
          <w:rStyle w:val="5"/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  <w:t>法学会2019年法学研究课题指南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新时代“枫桥经验”与“衡阳群众”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“一村一辅警”在乡村振兴战略中的作用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.检察机关法律监督规范化、案件化、一体化、制度化机制研究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征地补偿案件审判难点问题探析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非诉讼纠纷解决机制挺在前面问题研究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病残涉毒人员收治中心医疗纠纷的防范和对策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推进网格化社会治理创新研究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在社会稳定风险评估中引入第三方的思考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民营经济司法保护与检察职能发挥研究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96957"/>
    <w:rsid w:val="50D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2019-08-13T09:57:00Z</dcterms:created>
  <dc:creator>第二</dc:creator>
  <cp:lastModifiedBy>第二</cp:lastModifiedBy>
  <dcterms:modified xsi:type="dcterms:W3CDTF">2019-08-13T09:57:48Z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